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1765" w:rsidRPr="007F4715" w:rsidTr="00B74EB4">
        <w:tc>
          <w:tcPr>
            <w:tcW w:w="9571" w:type="dxa"/>
          </w:tcPr>
          <w:p w:rsidR="00301765" w:rsidRPr="007F4715" w:rsidRDefault="00301765" w:rsidP="00B74EB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  <w:r w:rsidRPr="007F4715">
              <w:rPr>
                <w:rStyle w:val="a5"/>
                <w:sz w:val="28"/>
                <w:szCs w:val="28"/>
                <w:bdr w:val="none" w:sz="0" w:space="0" w:color="auto" w:frame="1"/>
              </w:rPr>
              <w:t>МБДОУ «Детство» «ЦРР» г.</w:t>
            </w:r>
            <w:r>
              <w:rPr>
                <w:rStyle w:val="a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F4715">
              <w:rPr>
                <w:rStyle w:val="a5"/>
                <w:sz w:val="28"/>
                <w:szCs w:val="28"/>
                <w:bdr w:val="none" w:sz="0" w:space="0" w:color="auto" w:frame="1"/>
              </w:rPr>
              <w:t>Калуги</w:t>
            </w:r>
          </w:p>
          <w:p w:rsidR="00301765" w:rsidRPr="007F4715" w:rsidRDefault="00301765" w:rsidP="00B74EB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  <w:r w:rsidRPr="007F4715">
              <w:rPr>
                <w:rStyle w:val="a5"/>
                <w:sz w:val="28"/>
                <w:szCs w:val="28"/>
                <w:bdr w:val="none" w:sz="0" w:space="0" w:color="auto" w:frame="1"/>
              </w:rPr>
              <w:t>НСП «Цветочный город»</w:t>
            </w:r>
          </w:p>
          <w:p w:rsidR="00301765" w:rsidRPr="007F4715" w:rsidRDefault="00301765" w:rsidP="00B74EB4">
            <w:pPr>
              <w:pStyle w:val="a4"/>
              <w:spacing w:before="0" w:beforeAutospacing="0" w:after="0" w:afterAutospacing="0" w:line="360" w:lineRule="auto"/>
              <w:jc w:val="right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01765" w:rsidRPr="007F471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7F4715">
        <w:rPr>
          <w:rFonts w:eastAsia="Calibri"/>
          <w:noProof/>
          <w:sz w:val="22"/>
          <w:szCs w:val="22"/>
        </w:rPr>
        <w:t xml:space="preserve"> </w:t>
      </w:r>
    </w:p>
    <w:p w:rsidR="0030176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Pr="007F471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48"/>
          <w:szCs w:val="28"/>
          <w:bdr w:val="none" w:sz="0" w:space="0" w:color="auto" w:frame="1"/>
        </w:rPr>
      </w:pPr>
      <w:r w:rsidRPr="007F4715">
        <w:rPr>
          <w:rStyle w:val="a5"/>
          <w:sz w:val="48"/>
          <w:szCs w:val="28"/>
          <w:bdr w:val="none" w:sz="0" w:space="0" w:color="auto" w:frame="1"/>
        </w:rPr>
        <w:t>Консультация для педагогов</w:t>
      </w:r>
    </w:p>
    <w:p w:rsidR="00301765" w:rsidRPr="00301765" w:rsidRDefault="00301765" w:rsidP="0030176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  <w:lang w:eastAsia="ru-RU"/>
        </w:rPr>
      </w:pPr>
      <w:r w:rsidRPr="00301765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  <w:lang w:eastAsia="ru-RU"/>
        </w:rPr>
        <w:t>Развивающее формирующее  пространство микросоциума НСП  как фактор развития личности дошкольника</w:t>
      </w:r>
    </w:p>
    <w:p w:rsidR="00301765" w:rsidRPr="00301765" w:rsidRDefault="00301765" w:rsidP="0030176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301765" w:rsidRPr="0030176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40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jc w:val="right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Подготовила:</w:t>
      </w:r>
    </w:p>
    <w:p w:rsidR="00301765" w:rsidRDefault="00301765" w:rsidP="00301765">
      <w:pPr>
        <w:pStyle w:val="a4"/>
        <w:spacing w:before="0" w:beforeAutospacing="0" w:after="0" w:afterAutospacing="0" w:line="360" w:lineRule="auto"/>
        <w:jc w:val="right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B40E63">
        <w:rPr>
          <w:rStyle w:val="a5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Старший воспитатель</w:t>
      </w:r>
    </w:p>
    <w:p w:rsidR="00301765" w:rsidRDefault="00301765" w:rsidP="00301765">
      <w:pPr>
        <w:pStyle w:val="a4"/>
        <w:spacing w:before="0" w:beforeAutospacing="0" w:after="0" w:afterAutospacing="0" w:line="360" w:lineRule="auto"/>
        <w:jc w:val="right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Мельникова О.С.</w:t>
      </w:r>
    </w:p>
    <w:p w:rsidR="00301765" w:rsidRDefault="00301765" w:rsidP="00301765">
      <w:pPr>
        <w:pStyle w:val="a4"/>
        <w:spacing w:before="0" w:beforeAutospacing="0" w:after="0" w:afterAutospacing="0" w:line="360" w:lineRule="auto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textAlignment w:val="baseline"/>
        <w:rPr>
          <w:rStyle w:val="a5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301765" w:rsidRDefault="00301765" w:rsidP="00301765">
      <w:pPr>
        <w:pStyle w:val="a4"/>
        <w:spacing w:before="0" w:beforeAutospacing="0" w:after="0" w:afterAutospacing="0" w:line="360" w:lineRule="auto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301765" w:rsidRDefault="00301765" w:rsidP="00301765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Калуга, 2019</w:t>
      </w:r>
    </w:p>
    <w:p w:rsidR="00F46F7E" w:rsidRDefault="00F917B1" w:rsidP="00F917B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B369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F917B1" w:rsidRPr="00F917B1" w:rsidRDefault="00F46F7E" w:rsidP="00F917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Развивающее формирующее  пространство микросоциума НСП </w:t>
      </w:r>
      <w:r w:rsidR="00F917B1" w:rsidRPr="00F9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как фактор развития личности дошкольника</w:t>
      </w:r>
    </w:p>
    <w:p w:rsidR="00F917B1" w:rsidRPr="008B369E" w:rsidRDefault="00F917B1" w:rsidP="00F917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формирующее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 это 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окружает ребён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и что видит он вокруг себя,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важное условие личностного развития ребенка. Всё, что сопровождает ребенка дошкольника, во многом определяет его эмоциональный настрой, формирует отношение к окружающему, развивает определенные личностные качества.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объекты, игровые предметы, элементы убранства, специальные оборудования должны представлять собой единое целое, гармонично сочетаться по цвету, по стилю и материалам, из которых изготовлены. Значит, всё, что окружает ребёнка должно развивать не только умственные способности, но и органы чувств и обеспечивать малышу необходимый психологический комфорт.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В.В. Давыдова и Л.Б. Петровского определены главные требования к «интегральной среде для всестороннего развития ребенка»: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Среда должна быть </w:t>
      </w:r>
      <w:proofErr w:type="gram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гетерогенной</w:t>
      </w:r>
      <w:proofErr w:type="gram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сложной, состоящей из разнообразных элементов, необходимых для оптимизации всех видов деятельности ребенка;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Среда должна быть </w:t>
      </w:r>
      <w:proofErr w:type="gram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связной</w:t>
      </w:r>
      <w:proofErr w:type="gram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позволяющей ребенку переходя от одного вида деятельности к другому, выполнять их как взаимосвязанные жизненные моменты;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Среда должна быть достаточно гибкой и управляемой как со стороны ребенка</w:t>
      </w:r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со стороны взрослого</w:t>
      </w:r>
      <w:proofErr w:type="gramStart"/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ключевых условий реализации ФГОС </w:t>
      </w:r>
      <w:proofErr w:type="gram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 </w:t>
      </w:r>
      <w:proofErr w:type="gram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среда, которая «гарантирует охрану и укрепление физического и психического здоровья воспитанников, обеспечивает эмоциональное и морально-нравственное благополучие воспитанников, способствует профессиональному развитию педагогических работников, создает условия для развивающего вариативного дошкольного образования, обеспечивает его открытость и мотивирующий характер».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можно говорить о нескольких подходах к определению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развивающих формирующих пространств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эколого-личностная модель (В.А. </w:t>
      </w:r>
      <w:proofErr w:type="spell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</w:t>
      </w:r>
      <w:proofErr w:type="spell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коммуникативно-ориентированная модель (В.В. Рубцов); антрополого-психологическая модель (В.И. </w:t>
      </w:r>
      <w:proofErr w:type="spell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Слободчиков</w:t>
      </w:r>
      <w:proofErr w:type="spell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психодидактическая</w:t>
      </w:r>
      <w:proofErr w:type="spell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(В.П. Лебедева, В.А. Орлов, В.А. </w:t>
      </w:r>
      <w:proofErr w:type="spell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</w:t>
      </w:r>
      <w:proofErr w:type="spell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экопсихологический</w:t>
      </w:r>
      <w:proofErr w:type="spell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(В.И. Панов).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образовательной средой мы также понимаем систему педагогических и психологических условий и влияний, которые создают возможность для раскрытия как 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уже имеющихся, так еще не проявившихся способностей и личностных особенностей детей.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компонента образовательной среды, способствующего созданию социальной ситуации развития дошкольного возраста, необходимо рассматривать развивающую предметно-пространственную среду образовательной организации.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«предметно-пространственная среда» может рассматриваться в широком смысле как «среда, элементами которой выступают материальные, созданные человеком объекты, расположенные определенным образом в физическом пространстве».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 узком смысле - это «предметно-пространственная развивающая среда образовательной организации», которая определяется как «система объектов и средств природно-социально-предметного окружения, обеспечивающая в соответствии с социокультурными нормами личностное развитие и нравственное становление ребенка, а также позитивное продвижение его в формирован</w:t>
      </w:r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отношений к Миру»</w:t>
      </w:r>
      <w:proofErr w:type="gramStart"/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917B1" w:rsidRPr="008B369E" w:rsidRDefault="00E96200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в каждой группе НСП  интегрированы развивающие </w:t>
      </w:r>
      <w:r w:rsidR="00F917B1"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центры, </w:t>
      </w:r>
      <w:proofErr w:type="spellStart"/>
      <w:r w:rsidR="00F917B1"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F917B1"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игровым и методическим оборудованием. Каждая группа имеет эмблему, которая может быть изменена по желанию детей в новом учебном году. Дизайн оформления группы соответствует тематике эмблемы.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всесторон</w:t>
      </w:r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развития дошкольников в НСП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также: спортивный и музыкальный залы, изостудия, кабинет психолого-педагогической и логопедической помощи, медицинский кабинет, кабинеты специалистов.</w:t>
      </w:r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развивающие центры: </w:t>
      </w:r>
      <w:proofErr w:type="spellStart"/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конструирования, интересных открытий, компьютерный класс.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Возвращаясь к определению понятия «пространство», образовательное развивающее пространство следует считать педагогически организованной формой бытия социализирующейся личности. Образовательное развивающее пространство включает в сложные и разнообраз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взаимосвязи достаточно определенные атрибуты: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материально-вещную среду (территории и природные объекта помещения для разнообразной деятельности, оснащение и оборудова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том числе книги, технические и мультимедийные средства);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образовательные учреждения на уровне микросоциума (дошколь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образовательные учреждения, школы, детские и юношеские учреж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культуры и дополнительного образования, общественные орга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низации, спортивные, досуговые учреждения);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источники массовой коммуникации (теле- и радиопрограммы детские и молодежные издания, самодельные журналы и стенгазеты);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содержание образовательного пространства (социальный опыт «закодированный» в содержании обучения, в играх, в художественной деятельности, спорте, детской и молодежной субкультуре);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организацию образовательного пространства (режим, организа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времени и регламентация жизни участников образовательного про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странства</w:t>
      </w:r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разнообразные атрибуты образовательного развивающего пространства объ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единяются</w:t>
      </w:r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 культурным основанием</w:t>
      </w:r>
      <w:proofErr w:type="gramStart"/>
      <w:r w:rsidR="00E9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917B1" w:rsidRPr="008B369E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про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странство всегда несет в себе образ человека культуры, но предъявляет его не императивно, а в реальном взаимодействии взрослых и детей. Поэтому нельзя понимать педагогическое пространство как односто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роннее влияние специально организованной педагогической среды. Функциональную природу образовательного развивающего пространства определяет педагогическое взаимодействие. Обучающийся не только испытывает воздействие объектов образовательного пространства, но и сам на них действует, обуславливая состояние образовательного пространства.</w:t>
      </w:r>
    </w:p>
    <w:p w:rsidR="00F917B1" w:rsidRDefault="00F917B1" w:rsidP="00F917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моделировании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развивающих формирующих пространств </w:t>
      </w:r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выделить компонент среды для построения ее модели. Поскольку мы понимаем основную функцию обучения и воспитания как стимулирование саморазвития обучающегося, то та же </w:t>
      </w:r>
      <w:proofErr w:type="gramStart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proofErr w:type="gramEnd"/>
      <w:r w:rsidRPr="008B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представлена и в модели образовательного развивающего пространства образовательного учреждения.</w:t>
      </w:r>
    </w:p>
    <w:p w:rsidR="00F917B1" w:rsidRDefault="00F917B1" w:rsidP="00F917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2.Организация развивающих фор</w:t>
      </w:r>
      <w:r w:rsidR="00E96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мирующих простран</w:t>
      </w:r>
      <w:proofErr w:type="gramStart"/>
      <w:r w:rsidR="00E96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ств дл</w:t>
      </w:r>
      <w:proofErr w:type="gramEnd"/>
      <w:r w:rsidR="00E96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группы</w:t>
      </w:r>
    </w:p>
    <w:p w:rsidR="00F46F7E" w:rsidRPr="008B369E" w:rsidRDefault="00E96200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b/>
          <w:bCs/>
          <w:i/>
          <w:iCs/>
          <w:sz w:val="24"/>
          <w:szCs w:val="24"/>
          <w:lang w:eastAsia="ru-RU"/>
        </w:rPr>
        <w:t xml:space="preserve">Понятие РППС </w:t>
      </w:r>
      <w:r w:rsidR="00F46F7E" w:rsidRPr="008B369E">
        <w:rPr>
          <w:rFonts w:ascii="Roboto-Regular" w:eastAsia="Times New Roman" w:hAnsi="Roboto-Regular" w:cs="Times New Roman"/>
          <w:b/>
          <w:bCs/>
          <w:i/>
          <w:iCs/>
          <w:sz w:val="24"/>
          <w:szCs w:val="24"/>
          <w:lang w:eastAsia="ru-RU"/>
        </w:rPr>
        <w:t>рассматривается в педагогике как более</w:t>
      </w:r>
      <w:r>
        <w:rPr>
          <w:rFonts w:ascii="Roboto-Regular" w:eastAsia="Times New Roman" w:hAnsi="Roboto-Regular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46F7E"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узкая характеристика среды, как фактор, стимулирующий, направляющий, развивающий деятельность ребенка. Она оказывает влияние на развитие личности в широком смысле и на формирование у нее более узких качеств, таких как самостоятельность, активность, наблюдательность. Предметно-развивающая среда - это система материальных объектов деятельности ребенка, функционально моделирующая содержание его духовного и физического развития.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Обогащенная среда (по Петровскому В.А.) предполагает единства социальных и предметных средств обеспечения разнооб</w:t>
      </w:r>
      <w:r w:rsidR="00E96200">
        <w:rPr>
          <w:rFonts w:ascii="Roboto-Regular" w:eastAsia="Times New Roman" w:hAnsi="Roboto-Regular" w:cs="Times New Roman"/>
          <w:sz w:val="24"/>
          <w:szCs w:val="24"/>
          <w:lang w:eastAsia="ru-RU"/>
        </w:rPr>
        <w:t>разной деятельности ребенка</w:t>
      </w:r>
      <w:proofErr w:type="gramStart"/>
      <w:r w:rsidR="00E96200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</w:t>
      </w: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.</w:t>
      </w:r>
      <w:proofErr w:type="gram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Обогащение воспитательно-образовательного процесса развивающей предметной среды находится в прямой зависимости от содержания воспитания, возраста и уровня развития детей и их деятельности.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Необходимо, чтобы организация предметно-игровой среды в различных возрастных группах детского сада учитывала особенности поэтапного развития игровой деятельности детей и, одновременно, предоставляла бы максимальную возможность развертывания </w:t>
      </w: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lastRenderedPageBreak/>
        <w:t xml:space="preserve">событийной стороны игры, учитывала возрастающий объем знаний, впечатлений, содержание переживаний детей. Предметно-игровая среда в современных дошкольных учреждениях должна отвечать определенным требования: </w:t>
      </w: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это</w:t>
      </w:r>
      <w:proofErr w:type="gram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прежде всего свобода достижения ребенком темы, сюжета игры, тех или иных игрушек, песта и времени игры. При этом нельзя не учитывать возрастные особенности детей дошкольного возраста и то обстоятельство, что они находятся в дошкольном образовательном учреждении, работающем по определенной образовательной программе.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Это означает, что, создавая в дошкольном учреждении условия для осуществления детьми права на игру, необходимо предложить им не только наиболее удобное в распорядке дня время для игры, но и выделить подходящее место, оборудовав его универсальной предметно-игровой средой, пригодной для организации различных видов игр.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Принцип универсальности предметно-игровой среды является очень важным, так как он позволяет самим детям и детям вместе с воспитателями строить и менять игровую среду, трансформируя ее в соответствии с видом игры, ее содержанием и перспективами развития.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Именно поэтому предметно-игровая среда должна быть развивающей, т.е. она должна функционально моделировать развитие игры и ребенка через игру.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Развивающая предметно-игровая среда отвечает также и принципу системности, который представлен самостоятельностью ее отдельных элементов между собой и с другими предметами, составляющими целостность игрового пространства.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В состав предметно-игровой среды входят: крупное организующее игровое поле; игровое оборудование; игрушки; игровая атрибутика разного рода; игровые материалы. Все эти игровые средства находятся обычно не в каком-то абстрактном игровом пространстве, а в групповой комнате, игровом зале, на площадке (веранде) участка детского сада.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Игровые средства обязательно должны быть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сомасштабны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друг другу и другим предметам интерьера. Это означает, что интерьер должен не содержать ничего лишнего и органично сочетаться в эстетическом отношении с игровыми средствами. Все игровые и неигровые предметы должны отвечать принципу безопасности.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Помимо материальных и субъективных требований к организации игрового пространства, есть и сугубо педагогические.</w:t>
      </w:r>
      <w:proofErr w:type="gramEnd"/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Это, прежде всего, самодеятельные игры - игры-экспериментирования, сюжетно-ролевые, режиссерские игры детей дошкольного возраста. Не менее важны обучающие и досуговые игры, так как, благодаря именно этим играм у детей формируются основные необходимые новообразования в психической сфере, развиваются предпосылки мотивов новых видом деятельности.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lastRenderedPageBreak/>
        <w:t>Во-первых, в функции обозначения игрового пространства (деревянный «корабль» на участке детского сада; ширма, обозначающая «кабинет врача», и т.д.); во-вторых, в атрибутивной функции (специфические предметы, определяющие игровую роль, например, шапочка с красным крестом для врача) и, в-третьих, в функции непосредственного предмета оперирования (игрушечная посуда, руль, бинокль и т.д.).</w:t>
      </w:r>
      <w:proofErr w:type="gramEnd"/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В работе Г.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Фейн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предлагается разделение игрового материала с точки зрения его соответствия настоящим, реальным предметам на три категории: 1) реалистические игрушки (точные копии настоящих предметов); 2)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прототипические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игрушки (имитирующие реальные предметы особым образом - через яркое обозначение и даже преувеличение основных деталей, связанных со специфическими функциями этого предмета, и игнорирование его второстепенных деталей;</w:t>
      </w:r>
      <w:proofErr w:type="gram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3) полифункциональные предметы, не имеющие строгого функционального назначения (палочки, кубики), которые могут выступать как заместители разных реальных предметов.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Игра и игрушка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неотдельны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друг от друга Игрушка может вызвать к жизни игру, а игра, развиваясь, требует все новых и новых игрушек. Игрушка в познавательном отношении выступает для ребенка в качестве своеобразного обобщенного эталона окружающей материальной действительности. Игрушки могут быть самыми разнообразными по теме и художественному содержанию, но все они должны отвечать определенным педагогическим требованиям.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Главнейшие из этих требований относятся к возрастной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адресованности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и соответствию игрушек разным видам игр.</w:t>
      </w:r>
      <w:proofErr w:type="gram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В каждом возрасте ребенку нужны различные по своей тематике и назначению игрушки: сюжетные, технические, игрушки-орудия труда, игрушки-забавы, театральные, музыкальные, спортивные. </w:t>
      </w: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Для развития активности и самостоятельности необходимы игрушки, которые позволяют ярко выделить специфические функции настоящих предметов, важен масштаб игрушек, их соответствие размерам руки ребенка (для таких игрушек, как ложка, тарелка, утюг, телефон и т.п.), его росту (кукольная мебель, машины, коляски и т.п.), игрушки-партнеры (куклы, мишки).</w:t>
      </w:r>
      <w:proofErr w:type="gramEnd"/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В сюжетно-ролевой игре дети принимают на себя роли. А для выразительного их выполнения нужны элементы костюмов: юбки, жилеты, пелерины, украшения, головные уборы и др. Они не должны быть закрепления за одной ролью, как это часто бывает в детском саду.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Дети любят комбинировать костюмы. Чем старше дети, тем более разнообразные костюмы им нужны. Для игр детям разнообразные ролевые атрибуты, например, руль, бинокль, сумки и другие. Некоторые атрибуты полезно делать вместе с детьми тогда, когда они потребуются в игре. Это значит, что детям должны быть доступны материалы и </w:t>
      </w: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lastRenderedPageBreak/>
        <w:t xml:space="preserve">полуфабрикаты для изготовления самоделок и различных игровых атрибутов. Заметив интерес детей к какому-либо сюжету, можно включить в занятие по изобразительной деятельности, ручному труду выполнение работ, результаты которых затем могут быть использованы детьми в своих играх. </w:t>
      </w: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Так, поделки из глины или папье-маше (яблоки, орехи, морковка, тарелка, миска) украсят любой стол.</w:t>
      </w:r>
      <w:proofErr w:type="gramEnd"/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Изделия аппликации, например, коллективная работа-поезд, луг - могут быть использованы как панно, узорные коврики помогут оформить комнату куклы. В старшем дошкольном возрасте на занятиях ручным трудом дети изготавливаются поделки из бумаги, картона, природного материала, которые также могут быть использованы в различных играх.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Неоформленные материалы, используемые как предметы-заместители (палочки разной величины, кусочки ткани, меха, поролона, кожи, шнуры, веревки, проволока, пластмассовые флаконы, природный материал и др.), удобно хранить в коробке, которая может стоять в любом доступном месте для детей.</w:t>
      </w:r>
      <w:proofErr w:type="gram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Ребенок достает из него шнур превращает его в шланг для мытья машины. Кубик может стать кусочком мыла, телевизором, книгой. Как предметы-заместители можно использовать дидактические игрушки, строительный материал, физкультурное оборудование, белую и цветную бумагу. Воспитатель подводит детей к пониманию того, что некоторые предметы-заместители легко преобразовывать: например, бумагу можно разорвать на мелкие кусочки, смять, свернуть в трубочку; что-то на ней нарисовать, а из кубиков соорудить разнообразные постройки. Каждая такая игрушка ценна тем, что делает ее сам ребенок.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Из-за боязни насорить, нарушить порядок в группе нельзя лишать детей возможности изготавливать игрушки из самого распространенного в обиходе материала (газет, коробок, предметов обихода). Таким образом, при условии максимального единения игры с разными видами занятий можно использовать результаты художественной творческой деятельности.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Совместные игры требуют умения договариваться друг с другом, понятно излагать свои мысли. Овладеть коммуникативными умениями помогает и специально оборудованная игровая среда. Так, чтобы появились ролевые высказывания, обращенные к реальному и воображаемому собеседнику, в игровом уголке появляется игрушечный телефон или телефонная будка. Такая игровая обстановка, побуждает детей к разговорам с собеседником, дает возможность сосредоточиться, а некоторым преодолеть стеснительность.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Объединению в игре способствуют также специально подобранные крупные игрушки, например, макет грузовой машины, теплохода, а так же крупный строительный материал. </w:t>
      </w: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lastRenderedPageBreak/>
        <w:t xml:space="preserve">С.А. Новоселова рекомендует использовать условный, крупный,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средообразующий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материал для организации обобщенной предметно-игровой среды, например, крупные картонные коробки, обшитые однотон</w:t>
      </w:r>
      <w:r w:rsidR="00E96200">
        <w:rPr>
          <w:rFonts w:ascii="Roboto-Regular" w:eastAsia="Times New Roman" w:hAnsi="Roboto-Regular" w:cs="Times New Roman"/>
          <w:sz w:val="24"/>
          <w:szCs w:val="24"/>
          <w:lang w:eastAsia="ru-RU"/>
        </w:rPr>
        <w:t>ной тканью нескольких цветов</w:t>
      </w:r>
      <w:proofErr w:type="gramStart"/>
      <w:r w:rsidR="00E96200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</w:t>
      </w: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.</w:t>
      </w:r>
      <w:proofErr w:type="gramEnd"/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В исследованиях многих авторов установлено, что использование этих условных, крупных предметов способствует активизации функции замещения у детей в игре и становится важным фактором развития самодеятельных сюжетно-ролевых игр. Сюжетно-ролевые игры в такой предметно-игровой среде открывают более широкие возможности для проявления интеллектуальной инициативы детей в игре на основе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экстериоризации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его образного плана.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Также для игр можно предложить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средообразующие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модули, мебель-игрушку. Организация игры с крупными, нейтральными по отношению к любому содержанию игры,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средообразуюшими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предметами дает возможность замещать не только один конкретный необходимый предмет, но и создавать целую предметную ситуацию,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сомасштабную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пространству игровой комнаты.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Средообразующие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модули объединяют детей в общем деле, стимулируют их поисковую деятельность и творчество, способствуют как интеллектуальной, так и познавательной активности. Крупные модули позволяют не только представить игровое действие, но и реально его совершить (по-настоящему забраться в пещеру или дом, подняться на вершину мачты и т.д.). ПО ходу игры возникает экспериментирование и в воображаемой ситуации, и в реальном действии, в реальном движении на изменяющуюся предметную среду. Детям нравятся игры, в которых они преодолевают физические затруднения при перемещении предметов, при их сооружении. Они радуются, когда преодолевают эти затруднения.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Современный дизайнер и искусствовед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Г.Н.Любимова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, такие известные ученые М.И. Лисина, Т.А. Репина, Л.А. Парамонова, С.Л. Новоселова предлагают использовать «универсальные предметно-игровые развивающие среды», такие системы еще можно было бы назвать «игровыми мирами». К числу таких современных игровых миром с полным основанием может быть отнесен универсальный организующий игровое пространство многофункциональный конструктор «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Квадро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», который является одной из самых удачных и наукоемких разработок XX века для детей дошкольного возраста.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Современные игрушки и развивающие игровые среды несут информацию, делающую и его проводниками в мир современности, незаменимым средством воплощения игровых замыслов, средством не только получения, но, что особенно важно применения новых знаний на практике, использования этих знаний и умений в самостоятельной деятельности, в игре.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lastRenderedPageBreak/>
        <w:t>Таковы широко известные развивающие предметно-игровые среды «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Лего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»</w:t>
      </w: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)</w:t>
      </w:r>
      <w:proofErr w:type="gram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, включая «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Лего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-Дупло», «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Лего-Дакта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» и др.); «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Фишертехник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» (игрушечные железные дороги); «Либерти» (мягкие игрушки-животные); «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Квадро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» (многофункциональный конструктор), «Модуль-игра» (система модулей для игр и занятий); «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Акваплэй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» (водяной конструктор для игр и экспериментирования) и другие наукоемкие современные игровые средства для детей.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Современные требования к созданию полноценного игрового пространства отвечают реальности; </w:t>
      </w: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в</w:t>
      </w:r>
      <w:proofErr w:type="gram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</w:t>
      </w:r>
      <w:proofErr w:type="gram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группой</w:t>
      </w:r>
      <w:proofErr w:type="gram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комнате нужно создавать обстановку для проведения различных игр, предусмотреть ее тематический и сюжетный поворот, найти для каждой игры только ей присущий стиль игрового интерьера и оборудования, что конечно же не всегда возможно.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Так как сейчас дети играют в основном стандартно, возникает психолого-педагогическая задача побудить детей к творческому использованию своего жизненного опыта в игре, а не действовать по шаблону, диктуемому стандартным предметным содержанием игровых уголков. Инициатива детей в игре часто бывает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скована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заранее определенной педагогами тематикой игр, наличием стабильных по содержанию игровых зон (уголков), толкающих детей на воспроизведение одних и тех же сюжетов игр во всех возрастных группах. Так как тематические игровые уголки, получившие широкое распространение в практике организации сюжетных игр детей младшего дошкольного возраста, для старших детей могут быть тормозом игровой инициативы, потому что в этих уголках, где соответствующим образом расположено игровое оборудование и игрушки, т.е. детям заранее задается игровая задача. Но игра, прежде всего, должна быть творческой и помехи на пути детского творчества в игре следует устранять.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Руководство игрой зависит от цели, которую преследует педагог. Очевидно, что цели руководства играми могут быть в каждом конкретном случае различными, но они должны быть разрозненными. Определение цели педагогического руководства с необходимостью связано с пониманием педагогом функции игры в дошкольном детстве. Оно состоит в том, что игра, как «самостоятельная, самодеятельная», по выражению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А.В.Запорожца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, активность ребенка обеспечивает творческое присвоение им общественного опыта превращение его в средство созидания нового. Полноценно сформированная игра является надежным средством всестороннего творческого воспитания личности ребенка-дошкольника. Таким образом, создание предметно-игровой среды требует специальной заботы воспитателя.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Главный педагогический принцип тут заключается в непременной связи знаний, полученных детьми, с содержанием игровой среды. Существенное значение имеет и </w:t>
      </w: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lastRenderedPageBreak/>
        <w:t>организация внесения игрушек. Ее специфику раскрывают многие педагоги [17; 9; 11]. Предметно-игровая среда обязательно должна гибко изменяться в зависимости от содержания знаний, полученных детьми, от игровых интересов детей и уровня развития их игры.</w:t>
      </w:r>
    </w:p>
    <w:p w:rsidR="00F46F7E" w:rsidRPr="008B369E" w:rsidRDefault="00F46F7E" w:rsidP="00F46F7E">
      <w:pPr>
        <w:shd w:val="clear" w:color="auto" w:fill="FFFFFF"/>
        <w:spacing w:after="0" w:line="360" w:lineRule="auto"/>
        <w:jc w:val="both"/>
        <w:outlineLvl w:val="1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Таким образом, анализ психолого-педагогической литературы, проведенный в данном параграфе, позволил выяснить требования к организации предметно-игровой среды. С точки зрения различных исследований, среди которых авторы выделяют возрастную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адресованность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 xml:space="preserve"> игрушек, их разнообразие, но при этом возможность использования игрушек для различных игр, то есть </w:t>
      </w:r>
      <w:proofErr w:type="spellStart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полифункциональность</w:t>
      </w:r>
      <w:proofErr w:type="spellEnd"/>
      <w:r w:rsidRPr="008B369E">
        <w:rPr>
          <w:rFonts w:ascii="Roboto-Regular" w:eastAsia="Times New Roman" w:hAnsi="Roboto-Regular" w:cs="Times New Roman"/>
          <w:sz w:val="24"/>
          <w:szCs w:val="24"/>
          <w:lang w:eastAsia="ru-RU"/>
        </w:rPr>
        <w:t>. Для нас важно, что исследователи выражают свою точку зрения по поводу запрещения пользования игрушками, считая, что это вредит проявлению творчества ребенка.</w:t>
      </w:r>
    </w:p>
    <w:p w:rsidR="00F917B1" w:rsidRPr="008B369E" w:rsidRDefault="00F917B1" w:rsidP="00F46F7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7B1" w:rsidRPr="008B369E" w:rsidRDefault="00F917B1" w:rsidP="00F46F7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3DB1" w:rsidRPr="00F46F7E" w:rsidRDefault="007D3DB1" w:rsidP="00F46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3DB1" w:rsidRPr="00F4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4"/>
    <w:rsid w:val="00301765"/>
    <w:rsid w:val="006A0A84"/>
    <w:rsid w:val="007D3DB1"/>
    <w:rsid w:val="00E96200"/>
    <w:rsid w:val="00F46F7E"/>
    <w:rsid w:val="00F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017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01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i3-7100</dc:creator>
  <cp:keywords/>
  <dc:description/>
  <cp:lastModifiedBy>i3-7100</cp:lastModifiedBy>
  <cp:revision>5</cp:revision>
  <dcterms:created xsi:type="dcterms:W3CDTF">2018-11-19T14:20:00Z</dcterms:created>
  <dcterms:modified xsi:type="dcterms:W3CDTF">2019-05-15T11:38:00Z</dcterms:modified>
</cp:coreProperties>
</file>